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570CB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Times New Roman Semibold" w:hAnsi="Times New Roman Semibold" w:eastAsia="宋体" w:cs="Times New Roman Semibold"/>
          <w:b/>
          <w:bCs/>
          <w:sz w:val="44"/>
          <w:szCs w:val="44"/>
          <w:lang w:val="en-US" w:eastAsia="zh-CN"/>
        </w:rPr>
      </w:pPr>
      <w:r>
        <w:rPr>
          <w:rFonts w:hint="eastAsia" w:ascii="Times New Roman Semibold" w:hAnsi="Times New Roman Semibold" w:eastAsia="宋体" w:cs="Times New Roman Semibold"/>
          <w:b/>
          <w:bCs/>
          <w:sz w:val="44"/>
          <w:szCs w:val="44"/>
          <w:lang w:val="en-US" w:eastAsia="zh-CN"/>
        </w:rPr>
        <w:t>Sirui Li</w:t>
      </w:r>
    </w:p>
    <w:p w14:paraId="2EA8D388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snapToGrid w:val="0"/>
          <w:color w:val="000000"/>
          <w:kern w:val="0"/>
          <w:sz w:val="24"/>
          <w:szCs w:val="24"/>
          <w:lang w:val="en-US" w:eastAsia="zh-CN" w:bidi="ar"/>
        </w:rPr>
        <w:t>Email:</w:t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instrText xml:space="preserve"> HYPERLINK "mailto:threegogoing@gmail.com" </w:instrText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10"/>
          <w:rFonts w:hint="default" w:ascii="Times New Roman Regular" w:hAnsi="Times New Roman Regular" w:eastAsia="宋体" w:cs="Times New Roman Regular"/>
          <w:b w:val="0"/>
          <w:snapToGrid w:val="0"/>
          <w:kern w:val="0"/>
          <w:sz w:val="24"/>
          <w:szCs w:val="24"/>
          <w:lang w:val="en-US" w:eastAsia="zh-CN" w:bidi="ar"/>
        </w:rPr>
        <w:t>threegogoing@gmail.com</w:t>
      </w:r>
      <w:r>
        <w:rPr>
          <w:rFonts w:hint="default" w:ascii="Times New Roman Regular" w:hAnsi="Times New Roman Regular" w:eastAsia="宋体" w:cs="Times New Roman Regular"/>
          <w:b w:val="0"/>
          <w:snapToGrid w:val="0"/>
          <w:color w:val="000000"/>
          <w:kern w:val="0"/>
          <w:sz w:val="24"/>
          <w:szCs w:val="24"/>
          <w:lang w:val="en-US" w:eastAsia="zh-CN" w:bidi="ar"/>
        </w:rPr>
        <w:fldChar w:fldCharType="end"/>
      </w:r>
    </w:p>
    <w:p w14:paraId="3182CF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360" w:lineRule="auto"/>
        <w:textAlignment w:val="baseline"/>
        <w:outlineLvl w:val="0"/>
        <w:rPr>
          <w:rFonts w:hint="default" w:ascii="Times New Roman Bold" w:hAnsi="Times New Roman Bold" w:eastAsia="宋体" w:cs="Times New Roman Bold"/>
          <w:b/>
          <w:bCs w:val="0"/>
          <w:spacing w:val="4"/>
          <w:sz w:val="24"/>
          <w:szCs w:val="24"/>
        </w:rPr>
      </w:pPr>
    </w:p>
    <w:p w14:paraId="551922C4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eastAsia="宋体" w:cs="Times New Roman Bold"/>
          <w:b/>
          <w:bCs w:val="0"/>
          <w:snapToGrid w:val="0"/>
          <w:color w:val="000000"/>
          <w:kern w:val="0"/>
          <w:sz w:val="24"/>
          <w:szCs w:val="24"/>
          <w:lang w:val="en-US" w:eastAsia="zh-CN" w:bidi="ar"/>
        </w:rPr>
        <w:t>EDUCATION</w:t>
      </w:r>
    </w:p>
    <w:tbl>
      <w:tblPr>
        <w:tblStyle w:val="11"/>
        <w:tblW w:w="963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18"/>
        <w:gridCol w:w="902"/>
        <w:gridCol w:w="15"/>
      </w:tblGrid>
      <w:tr w14:paraId="709C1D22">
        <w:trPr>
          <w:gridAfter w:val="1"/>
          <w:wAfter w:w="15" w:type="dxa"/>
          <w:trHeight w:val="3788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52BA5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Beijing Normal University （BNU）   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Sep 2024 – Jun 2027 (Expected)</w:t>
            </w:r>
          </w:p>
          <w:p w14:paraId="733722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School of Government </w:t>
            </w:r>
          </w:p>
          <w:p w14:paraId="1F1C17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Master of  Public Policy </w:t>
            </w:r>
          </w:p>
          <w:p w14:paraId="68D681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>GPA：89.86/100</w:t>
            </w:r>
          </w:p>
          <w:p w14:paraId="795C8C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Honors: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National Scholarship (Top 1%, highest honor for students in China).</w:t>
            </w:r>
          </w:p>
          <w:p w14:paraId="07BD938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Beijing Normal University （BNU）        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i w:val="0"/>
                <w:iCs w:val="0"/>
                <w:strike w:val="0"/>
                <w:dstrike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</w:t>
            </w:r>
            <w:r>
              <w:rPr>
                <w:rFonts w:hint="default" w:ascii="Times New Roman Regular" w:hAnsi="Times New Roman Regular" w:eastAsia="宋体" w:cs="Times New Roman Regular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Sep 2020 – Jun 2024</w:t>
            </w:r>
          </w:p>
          <w:p w14:paraId="7FDE7D1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School of Government </w:t>
            </w:r>
          </w:p>
          <w:p w14:paraId="67CB2F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Bachelor of 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Public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Management </w:t>
            </w:r>
          </w:p>
          <w:p w14:paraId="27248A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>GPA：87.00/100</w:t>
            </w:r>
          </w:p>
          <w:p w14:paraId="7C870C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left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Honors: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Beijing Outstanding Bachelor’s Thesis (Top 1%).</w:t>
            </w:r>
          </w:p>
          <w:p w14:paraId="16EA159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hint="default" w:ascii="Times New Roman Semibold" w:hAnsi="Times New Roman Semibold" w:eastAsia="PingFang SC" w:cs="Times New Roman Semibold"/>
                <w:sz w:val="23"/>
                <w:szCs w:val="23"/>
              </w:rPr>
            </w:pPr>
            <w:r>
              <w:rPr>
                <w:rFonts w:hint="eastAsia" w:ascii="Times New Roman Semibold" w:hAnsi="Times New Roman Semibold" w:eastAsia="宋体" w:cs="Times New Roman Semibold"/>
                <w:b/>
                <w:bCs w:val="0"/>
                <w:spacing w:val="4"/>
                <w:sz w:val="24"/>
                <w:szCs w:val="24"/>
                <w:lang w:val="en-US" w:eastAsia="zh-CN"/>
              </w:rPr>
              <w:t>PAPERS</w:t>
            </w:r>
          </w:p>
        </w:tc>
      </w:tr>
      <w:tr w14:paraId="15ACAB7E">
        <w:trPr>
          <w:gridAfter w:val="1"/>
          <w:wAfter w:w="15" w:type="dxa"/>
          <w:trHeight w:val="3179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791F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left"/>
              <w:textAlignment w:val="baseline"/>
              <w:rPr>
                <w:rFonts w:hint="default" w:ascii="Times New Roman Semibold" w:hAnsi="Times New Roman Semibold" w:cs="Times New Roman Semibold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Journal Articles</w:t>
            </w:r>
          </w:p>
          <w:p w14:paraId="3141184E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Times New Roman Semibold" w:hAnsi="Times New Roman Semibold" w:cs="Times New Roman Semibold"/>
              </w:rPr>
            </w:pPr>
            <w:r>
              <w:rPr>
                <w:rFonts w:hint="default" w:ascii="Times New Roman Semibold" w:hAnsi="Times New Roman Semibold" w:cs="Times New Roman Semibold"/>
                <w:sz w:val="24"/>
                <w:szCs w:val="24"/>
                <w:lang w:val="en-US" w:eastAsia="zh-CN"/>
              </w:rPr>
              <w:t xml:space="preserve">Guo, Y., 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  <w:lang w:val="en-US" w:eastAsia="zh-CN"/>
              </w:rPr>
              <w:t>Li, S</w:t>
            </w:r>
            <w:r>
              <w:rPr>
                <w:rFonts w:hint="default" w:ascii="Times New Roman Semibold" w:hAnsi="Times New Roman Semibold" w:cs="Times New Roman Semibold"/>
                <w:sz w:val="24"/>
                <w:szCs w:val="24"/>
                <w:lang w:val="en-US" w:eastAsia="zh-CN"/>
              </w:rPr>
              <w:t>., Zhou, L., &amp; Sun, Y. (2024). Exploring the influence of technology regulatory policy instruments on public acceptance of algorithm recommender systems. </w:t>
            </w:r>
            <w:r>
              <w:rPr>
                <w:rFonts w:hint="default" w:ascii="Times New Roman Semibold" w:hAnsi="Times New Roman Semibold" w:cs="Times New Roman Semibold"/>
                <w:i/>
                <w:iCs/>
                <w:sz w:val="24"/>
                <w:szCs w:val="24"/>
                <w:lang w:val="en-US" w:eastAsia="zh-CN"/>
              </w:rPr>
              <w:t>Government Information Quarterly</w:t>
            </w:r>
            <w:r>
              <w:rPr>
                <w:rFonts w:hint="default" w:ascii="Times New Roman Semibold" w:hAnsi="Times New Roman Semibold" w:cs="Times New Roman Semibold"/>
                <w:sz w:val="24"/>
                <w:szCs w:val="24"/>
                <w:lang w:val="en-US" w:eastAsia="zh-CN"/>
              </w:rPr>
              <w:t>, 41(3), Article 101940.</w:t>
            </w:r>
            <w:r>
              <w:rPr>
                <w:rFonts w:hint="default" w:ascii="Times New Roman Semibold" w:hAnsi="Times New Roman Semibold" w:cs="Times New Roman Semibold"/>
                <w:sz w:val="24"/>
                <w:szCs w:val="24"/>
              </w:rPr>
              <w:t xml:space="preserve"> 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</w:rPr>
              <w:t>(SSCI, JCR Q1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  <w:lang w:val="en-US"/>
              </w:rPr>
              <w:t>,Impact Factor=10.0</w:t>
            </w:r>
            <w:r>
              <w:rPr>
                <w:rFonts w:hint="default" w:ascii="Times New Roman Semibold" w:hAnsi="Times New Roman Semibold" w:cs="Times New Roman Semibold"/>
                <w:b/>
                <w:bCs/>
                <w:sz w:val="24"/>
                <w:szCs w:val="24"/>
              </w:rPr>
              <w:t>)</w:t>
            </w:r>
          </w:p>
          <w:p w14:paraId="559591A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Times New Roman Semibold" w:hAnsi="Times New Roman Semibold" w:cs="Times New Roman Semibold"/>
                <w:sz w:val="24"/>
                <w:szCs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Li, 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., Xu, P., &amp; Guo, Y. (2026). Location, location, reaction: How mandatory IP disclosure silences critics and sparks backlash. Policy &amp; Internet, 18(1), e70034.</w:t>
            </w:r>
          </w:p>
          <w:p w14:paraId="55A98B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hint="default" w:ascii="Times New Roman Semibold" w:hAnsi="Times New Roman Semibold" w:eastAsia="宋体" w:cs="Times New Roman Semibold"/>
                <w:b/>
                <w:bCs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CONFERENCE PRESENTATIONS</w:t>
            </w:r>
          </w:p>
        </w:tc>
      </w:tr>
      <w:tr w14:paraId="7E98D8A4">
        <w:trPr>
          <w:gridAfter w:val="1"/>
          <w:wAfter w:w="15" w:type="dxa"/>
          <w:trHeight w:val="90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D898E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2025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instrText xml:space="preserve"> HYPERLINK "https://www.ibppa.org/conference" </w:instrTex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F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z w:val="24"/>
                <w:szCs w:val="24"/>
                <w:lang w:val="en-US" w:eastAsia="zh-CN"/>
              </w:rPr>
              <w:t>o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ur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th International Behavioural Public Policy Conference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(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IBBPC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London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t>UK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;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Bold" w:hAnsi="Times New Roman Bold" w:eastAsia="TimesNewRomanPS-BoldMT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2025 The International Conference on China Policy Studies (ICCPS)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Beijing, China.</w:t>
            </w:r>
          </w:p>
          <w:p w14:paraId="329B18E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Paper: “Preference Migration After Algorithmic Failure: Do Citizens Turn to Human Decision</w:t>
            </w:r>
            <w:r>
              <w:rPr>
                <w:rFonts w:hint="eastAsia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Makers?”</w:t>
            </w:r>
          </w:p>
          <w:p w14:paraId="239B26ED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>202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</w:rPr>
              <w:t xml:space="preserve"> </w:t>
            </w:r>
            <w:r>
              <w:rPr>
                <w:rStyle w:val="10"/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202124"/>
                <w:spacing w:val="0"/>
                <w:sz w:val="24"/>
                <w:szCs w:val="24"/>
                <w:u w:val="none"/>
                <w:shd w:val="clear" w:fill="FFFFFF"/>
              </w:rPr>
              <w:t>Association for Public Policy Analysis and Management (APPAM)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CN"/>
              </w:rPr>
              <w:t>Washington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 Regular"/>
                <w:sz w:val="24"/>
                <w:szCs w:val="24"/>
                <w:lang w:val="en-US" w:eastAsia="zh-CN"/>
              </w:rPr>
              <w:t>USA.</w:t>
            </w:r>
          </w:p>
          <w:p w14:paraId="3BAF2A8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Paper: “Regulatory Disclosure and Negative Online Sentiment: The Chilling and Reactance Effects of Mandatory IP Location Disclosure”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>.</w:t>
            </w:r>
          </w:p>
          <w:p w14:paraId="17392330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2023 Asia-Pacific Public Policy Network Conference (AP-PPN)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Hong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Kong, China;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t xml:space="preserve">2023 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instrText xml:space="preserve"> HYPERLINK "https://www.mpsanet.org/" </w:instrTex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Midwest Political Science Association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t>MPSA)</w:t>
            </w:r>
            <w:r>
              <w:rPr>
                <w:rFonts w:hint="eastAsia" w:ascii="Times New Roman Bold" w:hAnsi="Times New Roman Bold" w:eastAsia="宋体" w:cs="Times New Roman Bold"/>
                <w:b/>
                <w:bCs/>
                <w:sz w:val="24"/>
                <w:szCs w:val="24"/>
                <w:lang w:eastAsia="zh-CN"/>
              </w:rPr>
              <w:t>｜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 w:val="0"/>
                <w:bCs w:val="0"/>
                <w:sz w:val="24"/>
                <w:szCs w:val="24"/>
                <w:lang w:val="en-US"/>
              </w:rPr>
              <w:t>Online.</w:t>
            </w:r>
          </w:p>
          <w:p w14:paraId="2B2449B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jc w:val="both"/>
              <w:textAlignment w:val="baseline"/>
              <w:rPr>
                <w:rFonts w:hint="default" w:ascii="Times New Roman Regular" w:hAnsi="Times New Roman Regular" w:eastAsia="宋体" w:cs="Times New Roman Regular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Paper: “Exploring the influence of technology regulatory policy instruments on public acceptance of algorithm recommender systems”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>.</w:t>
            </w:r>
          </w:p>
          <w:p w14:paraId="374212A8">
            <w:pPr>
              <w:pStyle w:val="1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ind w:leftChars="0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RESEARCH EXPERIENCE</w:t>
            </w:r>
          </w:p>
        </w:tc>
      </w:tr>
      <w:tr w14:paraId="4C80A52C">
        <w:trPr>
          <w:gridAfter w:val="1"/>
          <w:wAfter w:w="15" w:type="dxa"/>
          <w:trHeight w:val="1318" w:hRule="atLeast"/>
        </w:trPr>
        <w:tc>
          <w:tcPr>
            <w:tcW w:w="962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A2332C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Chars="0"/>
              <w:textAlignment w:val="baseline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 xml:space="preserve">National Data Bureau Project: AI-Related Data Systems Study </w:t>
            </w: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 xml:space="preserve">                           </w:t>
            </w:r>
            <w:r>
              <w:rPr>
                <w:rFonts w:hint="default" w:ascii="Times New Roman Bold" w:hAnsi="Times New Roman Bold" w:cs="Times New Roman Bold"/>
                <w:b/>
                <w:bCs/>
              </w:rPr>
              <w:t>2024 – Present</w:t>
            </w:r>
          </w:p>
          <w:p w14:paraId="5906E4E8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</w:pPr>
            <w:r>
              <w:t>Analyzed the evolution of AI-related data policies in China, the U.S., and the EU to identify regulatory trends and gaps.</w:t>
            </w:r>
          </w:p>
          <w:p w14:paraId="0DE289E2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</w:pPr>
            <w:r>
              <w:t>Drafted policy briefs on "Synthetic Data" management and contributed to high-level consultation reports for government decision-making.</w:t>
            </w:r>
          </w:p>
          <w:p w14:paraId="267DA97F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Chars="0"/>
              <w:textAlignment w:val="baseline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</w:rPr>
              <w:t>National Natural Science Foundation of China (NSFC) Project</w:t>
            </w: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 xml:space="preserve">                           </w:t>
            </w:r>
            <w:r>
              <w:rPr>
                <w:rFonts w:hint="default" w:ascii="Times New Roman Bold" w:hAnsi="Times New Roman Bold" w:cs="Times New Roman Bold"/>
                <w:b/>
                <w:bCs/>
              </w:rPr>
              <w:t xml:space="preserve"> 202</w:t>
            </w: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3</w:t>
            </w:r>
            <w:r>
              <w:rPr>
                <w:rFonts w:hint="default" w:ascii="Times New Roman Bold" w:hAnsi="Times New Roman Bold" w:cs="Times New Roman Bold"/>
                <w:b/>
                <w:bCs/>
              </w:rPr>
              <w:t xml:space="preserve"> – Present</w:t>
            </w:r>
          </w:p>
          <w:p w14:paraId="47B2B3D6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</w:pPr>
            <w:r>
              <w:t>Conducted comprehensive literature review and data collection on behavioral public policy tools.</w:t>
            </w:r>
          </w:p>
          <w:p w14:paraId="67F9F0D6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/>
                <w:lang w:val="en-US"/>
              </w:rPr>
            </w:pPr>
            <w:r>
              <w:t>Synthesized data to draft comparative analysis reports on policy instrument effectiveness.</w:t>
            </w:r>
          </w:p>
          <w:p w14:paraId="12C60B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hint="default" w:ascii="Times New Roman Semibold" w:hAnsi="Times New Roman Semibold" w:eastAsia="PingFang SC" w:cs="Times New Roman Semibold"/>
                <w:sz w:val="23"/>
                <w:szCs w:val="23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HONORS &amp; AWARDS</w:t>
            </w:r>
          </w:p>
        </w:tc>
      </w:tr>
      <w:tr w14:paraId="6DC6087F">
        <w:trPr>
          <w:trHeight w:val="603" w:hRule="atLeast"/>
        </w:trPr>
        <w:tc>
          <w:tcPr>
            <w:tcW w:w="87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D86033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National Scholarship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(Top 1%, highest honor for students in China)</w:t>
            </w:r>
          </w:p>
          <w:p w14:paraId="7F28ADC2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Beijing Outstanding Bachelor’s Thesis (Top 1% of graduates in Beijing)</w:t>
            </w:r>
          </w:p>
          <w:p w14:paraId="4FB959C5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 xml:space="preserve">Best Paper Award (Global Chinese Urban Governance &amp; Policy Symposium) </w:t>
            </w:r>
          </w:p>
          <w:p w14:paraId="63C60876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Third Prize, National College Student English Competition</w:t>
            </w:r>
          </w:p>
          <w:p w14:paraId="27F21FF3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420" w:leftChars="0" w:hanging="420" w:firstLineChars="0"/>
              <w:textAlignment w:val="baseline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zh-CN"/>
              </w:rPr>
              <w:t>Jingshi Second-Class Scholarship (Academic Excellence)</w:t>
            </w:r>
          </w:p>
          <w:p w14:paraId="0C2BA53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line="360" w:lineRule="auto"/>
              <w:jc w:val="left"/>
              <w:textAlignment w:val="baseline"/>
              <w:rPr>
                <w:rFonts w:ascii="PingFang SC" w:hAnsi="PingFang SC" w:eastAsia="PingFang SC" w:cs="PingFang SC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ACADEMIC SERVICE &amp; SKILLS</w:t>
            </w:r>
          </w:p>
        </w:tc>
        <w:tc>
          <w:tcPr>
            <w:tcW w:w="9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A23CE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76932832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</w:p>
          <w:p w14:paraId="58230D13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14:paraId="581161C0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</w:p>
          <w:p w14:paraId="611BC55A">
            <w:pPr>
              <w:pStyle w:val="1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2022</w:t>
            </w:r>
          </w:p>
          <w:p w14:paraId="2B2C328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360" w:lineRule="auto"/>
              <w:jc w:val="right"/>
              <w:textAlignment w:val="baseline"/>
              <w:rPr>
                <w:sz w:val="24"/>
                <w:szCs w:val="24"/>
              </w:rPr>
            </w:pPr>
          </w:p>
        </w:tc>
      </w:tr>
    </w:tbl>
    <w:p w14:paraId="27FA4BEB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Service: Editorial Assistant, China Policy Journal (2024–Present).</w:t>
      </w:r>
    </w:p>
    <w:p w14:paraId="114B1487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Methods: Causal Inference (RDD, DID), Survey Experiments, Text Analysis.</w:t>
      </w:r>
    </w:p>
    <w:p w14:paraId="1E64AC4E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Software: Stata, R.</w:t>
      </w:r>
    </w:p>
    <w:p w14:paraId="7165E0BA">
      <w:pPr>
        <w:pStyle w:val="17"/>
        <w:keepNext w:val="0"/>
        <w:keepLines w:val="0"/>
        <w:pageBreakBefore w:val="0"/>
        <w:widowControl/>
        <w:numPr>
          <w:ilvl w:val="0"/>
          <w:numId w:val="7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20" w:leftChars="0" w:hanging="420" w:firstLineChars="0"/>
        <w:textAlignment w:val="baseline"/>
        <w:rPr>
          <w:rFonts w:hint="default"/>
        </w:rPr>
      </w:pPr>
      <w:r>
        <w:rPr>
          <w:rFonts w:hint="default"/>
        </w:rPr>
        <w:t>Languages: Chinese (Native), English (</w:t>
      </w:r>
      <w:r>
        <w:rPr>
          <w:rFonts w:hint="default"/>
          <w:lang w:val="en-US" w:eastAsia="zh-CN"/>
        </w:rPr>
        <w:t>IELTS 7.5</w:t>
      </w:r>
      <w:r>
        <w:rPr>
          <w:rFonts w:hint="default"/>
        </w:rPr>
        <w:t>).</w:t>
      </w:r>
    </w:p>
    <w:sectPr>
      <w:footerReference r:id="rId5" w:type="default"/>
      <w:pgSz w:w="11906" w:h="16838"/>
      <w:pgMar w:top="1153" w:right="1047" w:bottom="703" w:left="1152" w:header="0" w:footer="508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Semi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NewRomanPS-Bold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1D67A">
    <w:pPr>
      <w:pStyle w:val="3"/>
      <w:spacing w:line="183" w:lineRule="auto"/>
      <w:ind w:left="4755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2B1C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2B1C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7FED2B"/>
    <w:multiLevelType w:val="singleLevel"/>
    <w:tmpl w:val="DD7FED2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auto"/>
        <w:sz w:val="16"/>
        <w:szCs w:val="16"/>
        <w14:textFill>
          <w14:noFill/>
        </w14:textFill>
      </w:rPr>
    </w:lvl>
  </w:abstractNum>
  <w:abstractNum w:abstractNumId="1">
    <w:nsid w:val="E3E7E54E"/>
    <w:multiLevelType w:val="singleLevel"/>
    <w:tmpl w:val="E3E7E54E"/>
    <w:lvl w:ilvl="0" w:tentative="0">
      <w:start w:val="1"/>
      <w:numFmt w:val="decimal"/>
      <w:suff w:val="space"/>
      <w:lvlText w:val="[%1]"/>
      <w:lvlJc w:val="left"/>
    </w:lvl>
  </w:abstractNum>
  <w:abstractNum w:abstractNumId="2">
    <w:nsid w:val="E9FEE6F4"/>
    <w:multiLevelType w:val="singleLevel"/>
    <w:tmpl w:val="E9FEE6F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3">
    <w:nsid w:val="F3DE240A"/>
    <w:multiLevelType w:val="singleLevel"/>
    <w:tmpl w:val="F3DE240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4">
    <w:nsid w:val="FDDBBCCF"/>
    <w:multiLevelType w:val="singleLevel"/>
    <w:tmpl w:val="FDDBBCC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5">
    <w:nsid w:val="37FF3831"/>
    <w:multiLevelType w:val="singleLevel"/>
    <w:tmpl w:val="37FF383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abstractNum w:abstractNumId="6">
    <w:nsid w:val="5CFA2BD8"/>
    <w:multiLevelType w:val="singleLevel"/>
    <w:tmpl w:val="5CFA2BD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  <w:szCs w:val="16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customStyle="1" w:styleId="13">
    <w:name w:val="简历正文"/>
    <w:basedOn w:val="1"/>
    <w:uiPriority w:val="0"/>
    <w:rPr>
      <w:rFonts w:ascii="Times New Roman Semibold" w:hAnsi="Times New Roman Semibold" w:eastAsia="宋体" w:cs="Times New Roman Semibold"/>
    </w:rPr>
  </w:style>
  <w:style w:type="paragraph" w:customStyle="1" w:styleId="14">
    <w:name w:val="Paper_content"/>
    <w:basedOn w:val="1"/>
    <w:uiPriority w:val="0"/>
    <w:pPr>
      <w:spacing w:line="400" w:lineRule="exact"/>
      <w:ind w:firstLine="560" w:firstLineChars="200"/>
    </w:pPr>
    <w:rPr>
      <w:rFonts w:ascii="Times New Roman" w:hAnsi="Times New Roman" w:eastAsia="宋体" w:cs="Times New Roman"/>
      <w:sz w:val="24"/>
      <w:szCs w:val="24"/>
    </w:rPr>
  </w:style>
  <w:style w:type="paragraph" w:styleId="15">
    <w:name w:val="List Paragraph"/>
    <w:basedOn w:val="1"/>
    <w:qFormat/>
    <w:uiPriority w:val="34"/>
    <w:pPr>
      <w:ind w:firstLine="420"/>
    </w:pPr>
  </w:style>
  <w:style w:type="paragraph" w:customStyle="1" w:styleId="16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" w:hAnsi="helvetica" w:eastAsia="helvetica" w:cs="helvetica"/>
      <w:kern w:val="0"/>
      <w:sz w:val="24"/>
      <w:szCs w:val="24"/>
      <w:lang w:val="en-US" w:eastAsia="zh-CN" w:bidi="ar"/>
    </w:rPr>
  </w:style>
  <w:style w:type="paragraph" w:customStyle="1" w:styleId="17">
    <w:name w:val="CV"/>
    <w:basedOn w:val="1"/>
    <w:uiPriority w:val="0"/>
    <w:pPr>
      <w:spacing w:line="360" w:lineRule="exact"/>
    </w:pPr>
    <w:rPr>
      <w:rFonts w:ascii="Times New Roman Regular" w:hAnsi="Times New Roman Regular" w:cs="Times New Roman Regular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452</Words>
  <Characters>2818</Characters>
  <TotalTime>0</TotalTime>
  <ScaleCrop>false</ScaleCrop>
  <LinksUpToDate>false</LinksUpToDate>
  <CharactersWithSpaces>3380</CharactersWithSpaces>
  <Application>WPS Office_7.3.1.8967_F1E327BC-269C-435d-A152-05C5408002CA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